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5BF" w:rsidRPr="004E15BF" w:rsidRDefault="004E15BF" w:rsidP="004E15BF">
      <w:pPr>
        <w:shd w:val="clear" w:color="auto" w:fill="FFFFFF"/>
        <w:spacing w:after="0" w:line="296" w:lineRule="atLeast"/>
        <w:outlineLvl w:val="0"/>
        <w:rPr>
          <w:rFonts w:ascii="Arial" w:eastAsia="Times New Roman" w:hAnsi="Arial" w:cs="Arial"/>
          <w:b/>
          <w:bCs/>
          <w:color w:val="222222"/>
          <w:kern w:val="36"/>
          <w:sz w:val="51"/>
          <w:szCs w:val="51"/>
          <w:lang w:eastAsia="ru-RU"/>
        </w:rPr>
      </w:pPr>
      <w:r w:rsidRPr="004E15BF">
        <w:rPr>
          <w:rFonts w:ascii="Arial" w:eastAsia="Times New Roman" w:hAnsi="Arial" w:cs="Arial"/>
          <w:b/>
          <w:bCs/>
          <w:color w:val="222222"/>
          <w:kern w:val="36"/>
          <w:sz w:val="51"/>
          <w:szCs w:val="51"/>
          <w:lang w:eastAsia="ru-RU"/>
        </w:rPr>
        <w:t>Вклады банка «Возрождение»</w:t>
      </w:r>
    </w:p>
    <w:p w:rsidR="004E15BF" w:rsidRPr="004E15BF" w:rsidRDefault="004E15BF" w:rsidP="004E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5BF">
        <w:rPr>
          <w:rFonts w:ascii="Arial" w:eastAsia="Times New Roman" w:hAnsi="Arial" w:cs="Arial"/>
          <w:color w:val="222222"/>
          <w:sz w:val="21"/>
          <w:szCs w:val="21"/>
          <w:shd w:val="clear" w:color="auto" w:fill="FFFFFF"/>
          <w:lang w:eastAsia="ru-RU"/>
        </w:rPr>
        <w:t> </w:t>
      </w:r>
      <w:r w:rsidRPr="004E15BF">
        <w:rPr>
          <w:rFonts w:ascii="Arial" w:eastAsia="Times New Roman" w:hAnsi="Arial" w:cs="Arial"/>
          <w:caps/>
          <w:color w:val="336699"/>
          <w:spacing w:val="15"/>
          <w:sz w:val="18"/>
          <w:szCs w:val="18"/>
          <w:shd w:val="clear" w:color="auto" w:fill="FFFFFF"/>
          <w:lang w:eastAsia="ru-RU"/>
        </w:rPr>
        <w:t>ИЗМЕНИТЬ БАНК</w:t>
      </w:r>
    </w:p>
    <w:p w:rsidR="004E15BF" w:rsidRPr="004E15BF" w:rsidRDefault="004E15BF" w:rsidP="004E15BF">
      <w:pPr>
        <w:shd w:val="clear" w:color="auto" w:fill="FFFFFF"/>
        <w:spacing w:before="75" w:after="0" w:line="330" w:lineRule="atLeast"/>
        <w:outlineLvl w:val="1"/>
        <w:rPr>
          <w:rFonts w:ascii="Arial" w:eastAsia="Times New Roman" w:hAnsi="Arial" w:cs="Arial"/>
          <w:b/>
          <w:bCs/>
          <w:color w:val="595959"/>
          <w:sz w:val="24"/>
          <w:szCs w:val="24"/>
          <w:lang w:eastAsia="ru-RU"/>
        </w:rPr>
      </w:pPr>
      <w:r w:rsidRPr="004E15BF">
        <w:rPr>
          <w:rFonts w:ascii="Arial" w:eastAsia="Times New Roman" w:hAnsi="Arial" w:cs="Arial"/>
          <w:b/>
          <w:bCs/>
          <w:color w:val="595959"/>
          <w:sz w:val="24"/>
          <w:szCs w:val="24"/>
          <w:lang w:eastAsia="ru-RU"/>
        </w:rPr>
        <w:t>Выгодные процентные ставки по рублевым и валютным депозитам физическим лицам, все виды вкладов банка «Возрождение» можно открыть в отделениях или оставить заявку онлайн</w:t>
      </w:r>
    </w:p>
    <w:p w:rsidR="004E15BF" w:rsidRPr="004E15BF" w:rsidRDefault="004E15BF" w:rsidP="004E15BF">
      <w:pPr>
        <w:shd w:val="clear" w:color="auto" w:fill="FFFFFF"/>
        <w:spacing w:after="0" w:line="312" w:lineRule="atLeast"/>
        <w:rPr>
          <w:rFonts w:ascii="Arial" w:eastAsia="Times New Roman" w:hAnsi="Arial" w:cs="Arial"/>
          <w:b/>
          <w:bCs/>
          <w:color w:val="222222"/>
          <w:sz w:val="30"/>
          <w:szCs w:val="30"/>
          <w:lang w:eastAsia="ru-RU"/>
        </w:rPr>
      </w:pPr>
      <w:r w:rsidRPr="004E15BF">
        <w:rPr>
          <w:rFonts w:ascii="Arial" w:eastAsia="Times New Roman" w:hAnsi="Arial" w:cs="Arial"/>
          <w:b/>
          <w:bCs/>
          <w:color w:val="222222"/>
          <w:sz w:val="30"/>
          <w:szCs w:val="30"/>
          <w:lang w:eastAsia="ru-RU"/>
        </w:rPr>
        <w:t xml:space="preserve"> </w:t>
      </w:r>
    </w:p>
    <w:p w:rsidR="004E15BF" w:rsidRPr="004E15BF" w:rsidRDefault="004E15BF" w:rsidP="004E15BF">
      <w:pPr>
        <w:shd w:val="clear" w:color="auto" w:fill="FBEBD8"/>
        <w:spacing w:line="240" w:lineRule="auto"/>
        <w:textAlignment w:val="center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4E15BF">
          <w:rPr>
            <w:rFonts w:ascii="Arial" w:eastAsia="Times New Roman" w:hAnsi="Arial" w:cs="Arial"/>
            <w:color w:val="0000FF"/>
            <w:sz w:val="36"/>
            <w:szCs w:val="36"/>
            <w:lang w:eastAsia="ru-RU"/>
          </w:rPr>
          <w:t>Возрождение - Мои возможности</w:t>
        </w:r>
      </w:hyperlink>
    </w:p>
    <w:tbl>
      <w:tblPr>
        <w:tblW w:w="12855" w:type="dxa"/>
        <w:tblBorders>
          <w:left w:val="single" w:sz="6" w:space="0" w:color="ECF0F1"/>
          <w:right w:val="single" w:sz="6" w:space="0" w:color="ECF0F1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8"/>
        <w:gridCol w:w="1996"/>
        <w:gridCol w:w="2176"/>
        <w:gridCol w:w="1357"/>
        <w:gridCol w:w="4758"/>
      </w:tblGrid>
      <w:tr w:rsidR="004E15BF" w:rsidRPr="004E15BF" w:rsidTr="004E15BF">
        <w:trPr>
          <w:trHeight w:val="432"/>
          <w:tblHeader/>
        </w:trPr>
        <w:tc>
          <w:tcPr>
            <w:tcW w:w="2568" w:type="dxa"/>
            <w:shd w:val="clear" w:color="auto" w:fill="ECF0F1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Валюта</w:t>
            </w:r>
          </w:p>
        </w:tc>
        <w:tc>
          <w:tcPr>
            <w:tcW w:w="1996" w:type="dxa"/>
            <w:shd w:val="clear" w:color="auto" w:fill="ECF0F1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Макс. </w:t>
            </w:r>
            <w:hyperlink r:id="rId7" w:tgtFrame="_blank" w:history="1">
              <w:r w:rsidRPr="004E15BF">
                <w:rPr>
                  <w:rFonts w:ascii="Times New Roman" w:eastAsia="Times New Roman" w:hAnsi="Times New Roman" w:cs="Times New Roman"/>
                  <w:b/>
                  <w:bCs/>
                  <w:color w:val="34495E"/>
                  <w:sz w:val="24"/>
                  <w:szCs w:val="24"/>
                  <w:lang w:eastAsia="ru-RU"/>
                </w:rPr>
                <w:t>ставка</w:t>
              </w:r>
            </w:hyperlink>
          </w:p>
        </w:tc>
        <w:tc>
          <w:tcPr>
            <w:tcW w:w="2176" w:type="dxa"/>
            <w:shd w:val="clear" w:color="auto" w:fill="ECF0F1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357" w:type="dxa"/>
            <w:shd w:val="clear" w:color="auto" w:fill="ECF0F1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4758" w:type="dxa"/>
            <w:shd w:val="clear" w:color="auto" w:fill="ECF0F1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Опции</w:t>
            </w:r>
          </w:p>
        </w:tc>
      </w:tr>
      <w:tr w:rsidR="004E15BF" w:rsidRPr="004E15BF" w:rsidTr="004E15BF">
        <w:tc>
          <w:tcPr>
            <w:tcW w:w="2568" w:type="dxa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 </w:t>
            </w:r>
            <w:hyperlink r:id="rId8" w:tgtFrame="_blank" w:history="1">
              <w:r w:rsidRPr="004E15BF">
                <w:rPr>
                  <w:rFonts w:ascii="Times New Roman" w:eastAsia="Times New Roman" w:hAnsi="Times New Roman" w:cs="Times New Roman"/>
                  <w:b/>
                  <w:bCs/>
                  <w:color w:val="336699"/>
                  <w:sz w:val="24"/>
                  <w:szCs w:val="24"/>
                  <w:lang w:eastAsia="ru-RU"/>
                </w:rPr>
                <w:t>рубль</w:t>
              </w:r>
            </w:hyperlink>
          </w:p>
        </w:tc>
        <w:tc>
          <w:tcPr>
            <w:tcW w:w="1996" w:type="dxa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hyperlink r:id="rId9" w:anchor="rates-table" w:history="1">
              <w:r w:rsidRPr="004E15BF">
                <w:rPr>
                  <w:rFonts w:ascii="Times New Roman" w:eastAsia="Times New Roman" w:hAnsi="Times New Roman" w:cs="Times New Roman"/>
                  <w:color w:val="336699"/>
                  <w:sz w:val="30"/>
                  <w:szCs w:val="30"/>
                  <w:lang w:eastAsia="ru-RU"/>
                </w:rPr>
                <w:t>7%</w:t>
              </w:r>
            </w:hyperlink>
          </w:p>
        </w:tc>
        <w:tc>
          <w:tcPr>
            <w:tcW w:w="2176" w:type="dxa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1 500 000</w:t>
            </w:r>
          </w:p>
        </w:tc>
        <w:tc>
          <w:tcPr>
            <w:tcW w:w="1357" w:type="dxa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367 дней</w:t>
            </w:r>
          </w:p>
        </w:tc>
        <w:tc>
          <w:tcPr>
            <w:tcW w:w="4758" w:type="dxa"/>
            <w:vMerge w:val="restart"/>
            <w:tcBorders>
              <w:left w:val="single" w:sz="6" w:space="0" w:color="ECF0F1"/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numPr>
                <w:ilvl w:val="0"/>
                <w:numId w:val="1"/>
              </w:numPr>
              <w:spacing w:after="225" w:line="330" w:lineRule="atLeast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процентов ежемесячно</w:t>
            </w:r>
          </w:p>
          <w:p w:rsidR="004E15BF" w:rsidRPr="004E15BF" w:rsidRDefault="004E15BF" w:rsidP="004E15BF">
            <w:pPr>
              <w:numPr>
                <w:ilvl w:val="0"/>
                <w:numId w:val="1"/>
              </w:numPr>
              <w:spacing w:after="225" w:line="330" w:lineRule="atLeast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капитализация процентов по выбору клиента ежемесячно</w:t>
            </w:r>
          </w:p>
          <w:p w:rsidR="004E15BF" w:rsidRPr="004E15BF" w:rsidRDefault="004E15BF" w:rsidP="004E15BF">
            <w:pPr>
              <w:numPr>
                <w:ilvl w:val="0"/>
                <w:numId w:val="1"/>
              </w:numPr>
              <w:spacing w:after="225" w:line="330" w:lineRule="atLeast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 частичное снятие</w:t>
            </w:r>
          </w:p>
          <w:p w:rsidR="004E15BF" w:rsidRPr="004E15BF" w:rsidRDefault="004E15BF" w:rsidP="004E15BF">
            <w:pPr>
              <w:numPr>
                <w:ilvl w:val="0"/>
                <w:numId w:val="1"/>
              </w:numPr>
              <w:spacing w:after="0" w:line="330" w:lineRule="atLeast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 пополнение</w:t>
            </w:r>
          </w:p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4E15BF">
                <w:rPr>
                  <w:rFonts w:ascii="Times New Roman" w:eastAsia="Times New Roman" w:hAnsi="Times New Roman" w:cs="Times New Roman"/>
                  <w:color w:val="336699"/>
                  <w:sz w:val="24"/>
                  <w:szCs w:val="24"/>
                  <w:lang w:eastAsia="ru-RU"/>
                </w:rPr>
                <w:t>Подробнее</w:t>
              </w:r>
            </w:hyperlink>
          </w:p>
        </w:tc>
      </w:tr>
      <w:tr w:rsidR="004E15BF" w:rsidRPr="004E15BF" w:rsidTr="004E15BF">
        <w:tc>
          <w:tcPr>
            <w:tcW w:w="2568" w:type="dxa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tgtFrame="_blank" w:history="1">
              <w:r w:rsidRPr="004E15BF">
                <w:rPr>
                  <w:rFonts w:ascii="Times New Roman" w:eastAsia="Times New Roman" w:hAnsi="Times New Roman" w:cs="Times New Roman"/>
                  <w:b/>
                  <w:bCs/>
                  <w:color w:val="336699"/>
                  <w:sz w:val="24"/>
                  <w:szCs w:val="24"/>
                  <w:lang w:eastAsia="ru-RU"/>
                </w:rPr>
                <w:t>Доллар</w:t>
              </w:r>
            </w:hyperlink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США</w:t>
            </w:r>
          </w:p>
        </w:tc>
        <w:tc>
          <w:tcPr>
            <w:tcW w:w="1996" w:type="dxa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hyperlink r:id="rId12" w:anchor="rates-table" w:history="1">
              <w:r w:rsidRPr="004E15BF">
                <w:rPr>
                  <w:rFonts w:ascii="Times New Roman" w:eastAsia="Times New Roman" w:hAnsi="Times New Roman" w:cs="Times New Roman"/>
                  <w:color w:val="336699"/>
                  <w:sz w:val="30"/>
                  <w:szCs w:val="30"/>
                  <w:lang w:eastAsia="ru-RU"/>
                </w:rPr>
                <w:t>0.7%</w:t>
              </w:r>
            </w:hyperlink>
          </w:p>
        </w:tc>
        <w:tc>
          <w:tcPr>
            <w:tcW w:w="2176" w:type="dxa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30 000</w:t>
            </w:r>
          </w:p>
        </w:tc>
        <w:tc>
          <w:tcPr>
            <w:tcW w:w="1357" w:type="dxa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367 дней</w:t>
            </w:r>
          </w:p>
        </w:tc>
        <w:tc>
          <w:tcPr>
            <w:tcW w:w="4758" w:type="dxa"/>
            <w:vMerge/>
            <w:tcBorders>
              <w:left w:val="single" w:sz="6" w:space="0" w:color="ECF0F1"/>
              <w:bottom w:val="single" w:sz="6" w:space="0" w:color="ECF0F1"/>
            </w:tcBorders>
            <w:vAlign w:val="center"/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E15BF" w:rsidRPr="004E15BF" w:rsidRDefault="004E15BF" w:rsidP="004E15BF">
      <w:pPr>
        <w:shd w:val="clear" w:color="auto" w:fill="FBEBD8"/>
        <w:spacing w:line="240" w:lineRule="auto"/>
        <w:textAlignment w:val="center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3" w:history="1">
        <w:r w:rsidRPr="004E15BF">
          <w:rPr>
            <w:rFonts w:ascii="Arial" w:eastAsia="Times New Roman" w:hAnsi="Arial" w:cs="Arial"/>
            <w:color w:val="0000FF"/>
            <w:sz w:val="36"/>
            <w:szCs w:val="36"/>
            <w:lang w:eastAsia="ru-RU"/>
          </w:rPr>
          <w:t>Возрождение - Моя выгода</w:t>
        </w:r>
      </w:hyperlink>
    </w:p>
    <w:tbl>
      <w:tblPr>
        <w:tblW w:w="12855" w:type="dxa"/>
        <w:tblBorders>
          <w:left w:val="single" w:sz="6" w:space="0" w:color="ECF0F1"/>
          <w:right w:val="single" w:sz="6" w:space="0" w:color="ECF0F1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76"/>
        <w:gridCol w:w="2137"/>
        <w:gridCol w:w="1927"/>
        <w:gridCol w:w="1855"/>
        <w:gridCol w:w="4260"/>
      </w:tblGrid>
      <w:tr w:rsidR="004E15BF" w:rsidRPr="004E15BF" w:rsidTr="004E15BF">
        <w:trPr>
          <w:tblHeader/>
        </w:trPr>
        <w:tc>
          <w:tcPr>
            <w:tcW w:w="0" w:type="auto"/>
            <w:shd w:val="clear" w:color="auto" w:fill="ECF0F1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Валюта</w:t>
            </w:r>
          </w:p>
        </w:tc>
        <w:tc>
          <w:tcPr>
            <w:tcW w:w="0" w:type="auto"/>
            <w:shd w:val="clear" w:color="auto" w:fill="ECF0F1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Макс. </w:t>
            </w:r>
            <w:hyperlink r:id="rId14" w:tgtFrame="_blank" w:history="1">
              <w:r w:rsidRPr="004E15BF">
                <w:rPr>
                  <w:rFonts w:ascii="Times New Roman" w:eastAsia="Times New Roman" w:hAnsi="Times New Roman" w:cs="Times New Roman"/>
                  <w:b/>
                  <w:bCs/>
                  <w:color w:val="34495E"/>
                  <w:sz w:val="24"/>
                  <w:szCs w:val="24"/>
                  <w:lang w:eastAsia="ru-RU"/>
                </w:rPr>
                <w:t>ставка</w:t>
              </w:r>
            </w:hyperlink>
          </w:p>
        </w:tc>
        <w:tc>
          <w:tcPr>
            <w:tcW w:w="0" w:type="auto"/>
            <w:shd w:val="clear" w:color="auto" w:fill="ECF0F1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0" w:type="auto"/>
            <w:shd w:val="clear" w:color="auto" w:fill="ECF0F1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0" w:type="auto"/>
            <w:shd w:val="clear" w:color="auto" w:fill="ECF0F1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Опции</w:t>
            </w:r>
          </w:p>
        </w:tc>
      </w:tr>
      <w:tr w:rsidR="004E15BF" w:rsidRPr="004E15BF" w:rsidTr="004E15BF">
        <w:tc>
          <w:tcPr>
            <w:tcW w:w="0" w:type="auto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 </w:t>
            </w:r>
            <w:hyperlink r:id="rId15" w:tgtFrame="_blank" w:history="1">
              <w:r w:rsidRPr="004E15BF">
                <w:rPr>
                  <w:rFonts w:ascii="Times New Roman" w:eastAsia="Times New Roman" w:hAnsi="Times New Roman" w:cs="Times New Roman"/>
                  <w:b/>
                  <w:bCs/>
                  <w:color w:val="336699"/>
                  <w:sz w:val="24"/>
                  <w:szCs w:val="24"/>
                  <w:lang w:eastAsia="ru-RU"/>
                </w:rPr>
                <w:t>рубль</w:t>
              </w:r>
            </w:hyperlink>
          </w:p>
        </w:tc>
        <w:tc>
          <w:tcPr>
            <w:tcW w:w="0" w:type="auto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hyperlink r:id="rId16" w:anchor="rates-table" w:history="1">
              <w:r w:rsidRPr="004E15BF">
                <w:rPr>
                  <w:rFonts w:ascii="Times New Roman" w:eastAsia="Times New Roman" w:hAnsi="Times New Roman" w:cs="Times New Roman"/>
                  <w:color w:val="336699"/>
                  <w:sz w:val="30"/>
                  <w:szCs w:val="30"/>
                  <w:lang w:eastAsia="ru-RU"/>
                </w:rPr>
                <w:t>7.5%</w:t>
              </w:r>
            </w:hyperlink>
          </w:p>
        </w:tc>
        <w:tc>
          <w:tcPr>
            <w:tcW w:w="0" w:type="auto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1 500 000</w:t>
            </w:r>
          </w:p>
        </w:tc>
        <w:tc>
          <w:tcPr>
            <w:tcW w:w="0" w:type="auto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181 день</w:t>
            </w:r>
          </w:p>
        </w:tc>
        <w:tc>
          <w:tcPr>
            <w:tcW w:w="4260" w:type="dxa"/>
            <w:vMerge w:val="restart"/>
            <w:tcBorders>
              <w:left w:val="single" w:sz="6" w:space="0" w:color="ECF0F1"/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numPr>
                <w:ilvl w:val="0"/>
                <w:numId w:val="2"/>
              </w:numPr>
              <w:spacing w:after="0" w:line="330" w:lineRule="atLeast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процентов в конце срока</w:t>
            </w:r>
          </w:p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4E15BF">
                <w:rPr>
                  <w:rFonts w:ascii="Times New Roman" w:eastAsia="Times New Roman" w:hAnsi="Times New Roman" w:cs="Times New Roman"/>
                  <w:color w:val="336699"/>
                  <w:sz w:val="24"/>
                  <w:szCs w:val="24"/>
                  <w:lang w:eastAsia="ru-RU"/>
                </w:rPr>
                <w:t>Подробнее</w:t>
              </w:r>
            </w:hyperlink>
          </w:p>
        </w:tc>
      </w:tr>
      <w:tr w:rsidR="004E15BF" w:rsidRPr="004E15BF" w:rsidTr="004E15BF">
        <w:tc>
          <w:tcPr>
            <w:tcW w:w="0" w:type="auto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tgtFrame="_blank" w:history="1">
              <w:r w:rsidRPr="004E15BF">
                <w:rPr>
                  <w:rFonts w:ascii="Times New Roman" w:eastAsia="Times New Roman" w:hAnsi="Times New Roman" w:cs="Times New Roman"/>
                  <w:b/>
                  <w:bCs/>
                  <w:color w:val="336699"/>
                  <w:sz w:val="24"/>
                  <w:szCs w:val="24"/>
                  <w:lang w:eastAsia="ru-RU"/>
                </w:rPr>
                <w:t>Доллар</w:t>
              </w:r>
            </w:hyperlink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США</w:t>
            </w:r>
          </w:p>
        </w:tc>
        <w:tc>
          <w:tcPr>
            <w:tcW w:w="0" w:type="auto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hyperlink r:id="rId19" w:anchor="rates-table" w:history="1">
              <w:r w:rsidRPr="004E15BF">
                <w:rPr>
                  <w:rFonts w:ascii="Times New Roman" w:eastAsia="Times New Roman" w:hAnsi="Times New Roman" w:cs="Times New Roman"/>
                  <w:color w:val="336699"/>
                  <w:sz w:val="30"/>
                  <w:szCs w:val="30"/>
                  <w:lang w:eastAsia="ru-RU"/>
                </w:rPr>
                <w:t>1.25%</w:t>
              </w:r>
            </w:hyperlink>
          </w:p>
        </w:tc>
        <w:tc>
          <w:tcPr>
            <w:tcW w:w="0" w:type="auto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30 000</w:t>
            </w:r>
          </w:p>
        </w:tc>
        <w:tc>
          <w:tcPr>
            <w:tcW w:w="0" w:type="auto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367 дней</w:t>
            </w:r>
          </w:p>
        </w:tc>
        <w:tc>
          <w:tcPr>
            <w:tcW w:w="0" w:type="auto"/>
            <w:vMerge/>
            <w:tcBorders>
              <w:left w:val="single" w:sz="6" w:space="0" w:color="ECF0F1"/>
              <w:bottom w:val="single" w:sz="6" w:space="0" w:color="ECF0F1"/>
            </w:tcBorders>
            <w:vAlign w:val="center"/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15BF" w:rsidRPr="004E15BF" w:rsidTr="004E15BF">
        <w:tc>
          <w:tcPr>
            <w:tcW w:w="0" w:type="auto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tgtFrame="_blank" w:history="1">
              <w:r w:rsidRPr="004E15BF">
                <w:rPr>
                  <w:rFonts w:ascii="Times New Roman" w:eastAsia="Times New Roman" w:hAnsi="Times New Roman" w:cs="Times New Roman"/>
                  <w:b/>
                  <w:bCs/>
                  <w:color w:val="336699"/>
                  <w:sz w:val="24"/>
                  <w:szCs w:val="24"/>
                  <w:lang w:eastAsia="ru-RU"/>
                </w:rPr>
                <w:t>Евро</w:t>
              </w:r>
            </w:hyperlink>
          </w:p>
        </w:tc>
        <w:tc>
          <w:tcPr>
            <w:tcW w:w="0" w:type="auto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hyperlink r:id="rId21" w:anchor="rates-table" w:history="1">
              <w:r w:rsidRPr="004E15BF">
                <w:rPr>
                  <w:rFonts w:ascii="Times New Roman" w:eastAsia="Times New Roman" w:hAnsi="Times New Roman" w:cs="Times New Roman"/>
                  <w:color w:val="336699"/>
                  <w:sz w:val="30"/>
                  <w:szCs w:val="30"/>
                  <w:lang w:eastAsia="ru-RU"/>
                </w:rPr>
                <w:t>0.05%</w:t>
              </w:r>
            </w:hyperlink>
          </w:p>
        </w:tc>
        <w:tc>
          <w:tcPr>
            <w:tcW w:w="0" w:type="auto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300</w:t>
            </w:r>
          </w:p>
        </w:tc>
        <w:tc>
          <w:tcPr>
            <w:tcW w:w="0" w:type="auto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367 дней</w:t>
            </w:r>
          </w:p>
        </w:tc>
        <w:tc>
          <w:tcPr>
            <w:tcW w:w="0" w:type="auto"/>
            <w:vMerge/>
            <w:tcBorders>
              <w:left w:val="single" w:sz="6" w:space="0" w:color="ECF0F1"/>
              <w:bottom w:val="single" w:sz="6" w:space="0" w:color="ECF0F1"/>
            </w:tcBorders>
            <w:vAlign w:val="center"/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E15BF" w:rsidRPr="004E15BF" w:rsidRDefault="004E15BF" w:rsidP="004E15B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2" w:anchor="rates-table" w:history="1">
        <w:r w:rsidRPr="004E15BF">
          <w:rPr>
            <w:rFonts w:ascii="Arial" w:eastAsia="Times New Roman" w:hAnsi="Arial" w:cs="Arial"/>
            <w:caps/>
            <w:color w:val="222222"/>
            <w:spacing w:val="15"/>
            <w:sz w:val="18"/>
            <w:szCs w:val="18"/>
            <w:u w:val="single"/>
            <w:bdr w:val="none" w:sz="0" w:space="0" w:color="auto" w:frame="1"/>
            <w:lang w:eastAsia="ru-RU"/>
          </w:rPr>
          <w:t>ВСЕ СТАВКИ</w:t>
        </w:r>
      </w:hyperlink>
    </w:p>
    <w:p w:rsidR="004E15BF" w:rsidRPr="004E15BF" w:rsidRDefault="004E15BF" w:rsidP="004E15BF">
      <w:pPr>
        <w:shd w:val="clear" w:color="auto" w:fill="FBEBD8"/>
        <w:spacing w:line="240" w:lineRule="auto"/>
        <w:textAlignment w:val="center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3" w:history="1">
        <w:r w:rsidRPr="004E15BF">
          <w:rPr>
            <w:rFonts w:ascii="Arial" w:eastAsia="Times New Roman" w:hAnsi="Arial" w:cs="Arial"/>
            <w:color w:val="0000FF"/>
            <w:sz w:val="36"/>
            <w:szCs w:val="36"/>
            <w:lang w:eastAsia="ru-RU"/>
          </w:rPr>
          <w:t>Возрождение - Моя копилка</w:t>
        </w:r>
      </w:hyperlink>
    </w:p>
    <w:tbl>
      <w:tblPr>
        <w:tblW w:w="12855" w:type="dxa"/>
        <w:tblBorders>
          <w:left w:val="single" w:sz="6" w:space="0" w:color="ECF0F1"/>
          <w:right w:val="single" w:sz="6" w:space="0" w:color="ECF0F1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76"/>
        <w:gridCol w:w="2137"/>
        <w:gridCol w:w="1927"/>
        <w:gridCol w:w="1855"/>
        <w:gridCol w:w="4260"/>
      </w:tblGrid>
      <w:tr w:rsidR="004E15BF" w:rsidRPr="004E15BF" w:rsidTr="004E15BF">
        <w:trPr>
          <w:tblHeader/>
        </w:trPr>
        <w:tc>
          <w:tcPr>
            <w:tcW w:w="0" w:type="auto"/>
            <w:shd w:val="clear" w:color="auto" w:fill="ECF0F1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Валюта</w:t>
            </w:r>
          </w:p>
        </w:tc>
        <w:tc>
          <w:tcPr>
            <w:tcW w:w="0" w:type="auto"/>
            <w:shd w:val="clear" w:color="auto" w:fill="ECF0F1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Макс. </w:t>
            </w:r>
            <w:hyperlink r:id="rId24" w:tgtFrame="_blank" w:history="1">
              <w:r w:rsidRPr="004E15BF">
                <w:rPr>
                  <w:rFonts w:ascii="Times New Roman" w:eastAsia="Times New Roman" w:hAnsi="Times New Roman" w:cs="Times New Roman"/>
                  <w:b/>
                  <w:bCs/>
                  <w:color w:val="34495E"/>
                  <w:sz w:val="24"/>
                  <w:szCs w:val="24"/>
                  <w:lang w:eastAsia="ru-RU"/>
                </w:rPr>
                <w:t>ставка</w:t>
              </w:r>
            </w:hyperlink>
          </w:p>
        </w:tc>
        <w:tc>
          <w:tcPr>
            <w:tcW w:w="0" w:type="auto"/>
            <w:shd w:val="clear" w:color="auto" w:fill="ECF0F1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0" w:type="auto"/>
            <w:shd w:val="clear" w:color="auto" w:fill="ECF0F1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0" w:type="auto"/>
            <w:shd w:val="clear" w:color="auto" w:fill="ECF0F1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Опции</w:t>
            </w:r>
          </w:p>
        </w:tc>
      </w:tr>
      <w:tr w:rsidR="004E15BF" w:rsidRPr="004E15BF" w:rsidTr="004E15BF">
        <w:tc>
          <w:tcPr>
            <w:tcW w:w="0" w:type="auto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 </w:t>
            </w:r>
            <w:hyperlink r:id="rId25" w:tgtFrame="_blank" w:history="1">
              <w:r w:rsidRPr="004E15BF">
                <w:rPr>
                  <w:rFonts w:ascii="Times New Roman" w:eastAsia="Times New Roman" w:hAnsi="Times New Roman" w:cs="Times New Roman"/>
                  <w:b/>
                  <w:bCs/>
                  <w:color w:val="336699"/>
                  <w:sz w:val="24"/>
                  <w:szCs w:val="24"/>
                  <w:lang w:eastAsia="ru-RU"/>
                </w:rPr>
                <w:t>рубль</w:t>
              </w:r>
            </w:hyperlink>
          </w:p>
        </w:tc>
        <w:tc>
          <w:tcPr>
            <w:tcW w:w="0" w:type="auto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hyperlink r:id="rId26" w:anchor="rates-table" w:history="1">
              <w:r w:rsidRPr="004E15BF">
                <w:rPr>
                  <w:rFonts w:ascii="Times New Roman" w:eastAsia="Times New Roman" w:hAnsi="Times New Roman" w:cs="Times New Roman"/>
                  <w:color w:val="336699"/>
                  <w:sz w:val="30"/>
                  <w:szCs w:val="30"/>
                  <w:lang w:eastAsia="ru-RU"/>
                </w:rPr>
                <w:t>7.4%</w:t>
              </w:r>
            </w:hyperlink>
          </w:p>
        </w:tc>
        <w:tc>
          <w:tcPr>
            <w:tcW w:w="0" w:type="auto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1 500 000</w:t>
            </w:r>
          </w:p>
        </w:tc>
        <w:tc>
          <w:tcPr>
            <w:tcW w:w="0" w:type="auto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367 дней</w:t>
            </w:r>
          </w:p>
        </w:tc>
        <w:tc>
          <w:tcPr>
            <w:tcW w:w="4260" w:type="dxa"/>
            <w:vMerge w:val="restart"/>
            <w:tcBorders>
              <w:left w:val="single" w:sz="6" w:space="0" w:color="ECF0F1"/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numPr>
                <w:ilvl w:val="0"/>
                <w:numId w:val="3"/>
              </w:numPr>
              <w:spacing w:after="225" w:line="330" w:lineRule="atLeast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процентов ежемесячно</w:t>
            </w:r>
          </w:p>
          <w:p w:rsidR="004E15BF" w:rsidRPr="004E15BF" w:rsidRDefault="004E15BF" w:rsidP="004E15BF">
            <w:pPr>
              <w:numPr>
                <w:ilvl w:val="0"/>
                <w:numId w:val="3"/>
              </w:numPr>
              <w:spacing w:after="225" w:line="330" w:lineRule="atLeast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капитализация процентов по выбору клиента ежемесячно</w:t>
            </w:r>
          </w:p>
          <w:p w:rsidR="004E15BF" w:rsidRPr="004E15BF" w:rsidRDefault="004E15BF" w:rsidP="004E15BF">
            <w:pPr>
              <w:numPr>
                <w:ilvl w:val="0"/>
                <w:numId w:val="3"/>
              </w:numPr>
              <w:spacing w:after="0" w:line="330" w:lineRule="atLeast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 пополнение</w:t>
            </w:r>
          </w:p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Pr="004E15BF">
                <w:rPr>
                  <w:rFonts w:ascii="Times New Roman" w:eastAsia="Times New Roman" w:hAnsi="Times New Roman" w:cs="Times New Roman"/>
                  <w:color w:val="336699"/>
                  <w:sz w:val="24"/>
                  <w:szCs w:val="24"/>
                  <w:lang w:eastAsia="ru-RU"/>
                </w:rPr>
                <w:t>Подробнее</w:t>
              </w:r>
            </w:hyperlink>
          </w:p>
        </w:tc>
      </w:tr>
      <w:tr w:rsidR="004E15BF" w:rsidRPr="004E15BF" w:rsidTr="004E15BF">
        <w:tc>
          <w:tcPr>
            <w:tcW w:w="0" w:type="auto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tgtFrame="_blank" w:history="1">
              <w:r w:rsidRPr="004E15BF">
                <w:rPr>
                  <w:rFonts w:ascii="Times New Roman" w:eastAsia="Times New Roman" w:hAnsi="Times New Roman" w:cs="Times New Roman"/>
                  <w:b/>
                  <w:bCs/>
                  <w:color w:val="336699"/>
                  <w:sz w:val="24"/>
                  <w:szCs w:val="24"/>
                  <w:lang w:eastAsia="ru-RU"/>
                </w:rPr>
                <w:t>Доллар</w:t>
              </w:r>
            </w:hyperlink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США</w:t>
            </w:r>
          </w:p>
        </w:tc>
        <w:tc>
          <w:tcPr>
            <w:tcW w:w="0" w:type="auto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hyperlink r:id="rId29" w:anchor="rates-table" w:history="1">
              <w:r w:rsidRPr="004E15BF">
                <w:rPr>
                  <w:rFonts w:ascii="Times New Roman" w:eastAsia="Times New Roman" w:hAnsi="Times New Roman" w:cs="Times New Roman"/>
                  <w:color w:val="336699"/>
                  <w:sz w:val="30"/>
                  <w:szCs w:val="30"/>
                  <w:lang w:eastAsia="ru-RU"/>
                </w:rPr>
                <w:t>0.9%</w:t>
              </w:r>
            </w:hyperlink>
          </w:p>
        </w:tc>
        <w:tc>
          <w:tcPr>
            <w:tcW w:w="0" w:type="auto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30 000</w:t>
            </w:r>
          </w:p>
        </w:tc>
        <w:tc>
          <w:tcPr>
            <w:tcW w:w="0" w:type="auto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367 дней</w:t>
            </w:r>
          </w:p>
        </w:tc>
        <w:tc>
          <w:tcPr>
            <w:tcW w:w="0" w:type="auto"/>
            <w:vMerge/>
            <w:tcBorders>
              <w:left w:val="single" w:sz="6" w:space="0" w:color="ECF0F1"/>
              <w:bottom w:val="single" w:sz="6" w:space="0" w:color="ECF0F1"/>
            </w:tcBorders>
            <w:vAlign w:val="center"/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E15BF" w:rsidRPr="004E15BF" w:rsidRDefault="004E15BF" w:rsidP="004E15B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30" w:anchor="rates-table" w:history="1">
        <w:r w:rsidRPr="004E15BF">
          <w:rPr>
            <w:rFonts w:ascii="Arial" w:eastAsia="Times New Roman" w:hAnsi="Arial" w:cs="Arial"/>
            <w:caps/>
            <w:color w:val="222222"/>
            <w:spacing w:val="15"/>
            <w:sz w:val="18"/>
            <w:szCs w:val="18"/>
            <w:u w:val="single"/>
            <w:bdr w:val="none" w:sz="0" w:space="0" w:color="auto" w:frame="1"/>
            <w:lang w:eastAsia="ru-RU"/>
          </w:rPr>
          <w:t>ВСЕ СТАВКИ</w:t>
        </w:r>
      </w:hyperlink>
    </w:p>
    <w:bookmarkStart w:id="0" w:name="_GoBack"/>
    <w:bookmarkEnd w:id="0"/>
    <w:p w:rsidR="004E15BF" w:rsidRPr="004E15BF" w:rsidRDefault="004E15BF" w:rsidP="004E15BF">
      <w:pPr>
        <w:shd w:val="clear" w:color="auto" w:fill="FBEBD8"/>
        <w:spacing w:line="240" w:lineRule="auto"/>
        <w:textAlignment w:val="center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E15BF">
        <w:rPr>
          <w:rFonts w:ascii="Arial" w:eastAsia="Times New Roman" w:hAnsi="Arial" w:cs="Arial"/>
          <w:color w:val="222222"/>
          <w:sz w:val="21"/>
          <w:szCs w:val="21"/>
          <w:lang w:eastAsia="ru-RU"/>
        </w:rPr>
        <w:fldChar w:fldCharType="begin"/>
      </w:r>
      <w:r w:rsidRPr="004E15BF">
        <w:rPr>
          <w:rFonts w:ascii="Arial" w:eastAsia="Times New Roman" w:hAnsi="Arial" w:cs="Arial"/>
          <w:color w:val="222222"/>
          <w:sz w:val="21"/>
          <w:szCs w:val="21"/>
          <w:lang w:eastAsia="ru-RU"/>
        </w:rPr>
        <w:instrText xml:space="preserve"> HYPERLINK "http://www.banki.ru/products/deposits/deposit/16398/" </w:instrText>
      </w:r>
      <w:r w:rsidRPr="004E15BF">
        <w:rPr>
          <w:rFonts w:ascii="Arial" w:eastAsia="Times New Roman" w:hAnsi="Arial" w:cs="Arial"/>
          <w:color w:val="222222"/>
          <w:sz w:val="21"/>
          <w:szCs w:val="21"/>
          <w:lang w:eastAsia="ru-RU"/>
        </w:rPr>
        <w:fldChar w:fldCharType="separate"/>
      </w:r>
      <w:r w:rsidRPr="004E15BF">
        <w:rPr>
          <w:rFonts w:ascii="Arial" w:eastAsia="Times New Roman" w:hAnsi="Arial" w:cs="Arial"/>
          <w:color w:val="0000FF"/>
          <w:sz w:val="36"/>
          <w:szCs w:val="36"/>
          <w:lang w:eastAsia="ru-RU"/>
        </w:rPr>
        <w:t>Возрождение - Проценты в рост</w:t>
      </w:r>
      <w:r w:rsidRPr="004E15BF">
        <w:rPr>
          <w:rFonts w:ascii="Arial" w:eastAsia="Times New Roman" w:hAnsi="Arial" w:cs="Arial"/>
          <w:color w:val="222222"/>
          <w:sz w:val="21"/>
          <w:szCs w:val="21"/>
          <w:lang w:eastAsia="ru-RU"/>
        </w:rPr>
        <w:fldChar w:fldCharType="end"/>
      </w:r>
    </w:p>
    <w:tbl>
      <w:tblPr>
        <w:tblW w:w="12855" w:type="dxa"/>
        <w:tblBorders>
          <w:left w:val="single" w:sz="6" w:space="0" w:color="ECF0F1"/>
          <w:right w:val="single" w:sz="6" w:space="0" w:color="ECF0F1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2"/>
        <w:gridCol w:w="2238"/>
        <w:gridCol w:w="1598"/>
        <w:gridCol w:w="1942"/>
        <w:gridCol w:w="4275"/>
      </w:tblGrid>
      <w:tr w:rsidR="004E15BF" w:rsidRPr="004E15BF" w:rsidTr="004E15BF">
        <w:trPr>
          <w:tblHeader/>
        </w:trPr>
        <w:tc>
          <w:tcPr>
            <w:tcW w:w="0" w:type="auto"/>
            <w:shd w:val="clear" w:color="auto" w:fill="ECF0F1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Валюта</w:t>
            </w:r>
          </w:p>
        </w:tc>
        <w:tc>
          <w:tcPr>
            <w:tcW w:w="0" w:type="auto"/>
            <w:shd w:val="clear" w:color="auto" w:fill="ECF0F1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Макс. </w:t>
            </w:r>
            <w:hyperlink r:id="rId31" w:tgtFrame="_blank" w:history="1">
              <w:r w:rsidRPr="004E15BF">
                <w:rPr>
                  <w:rFonts w:ascii="Times New Roman" w:eastAsia="Times New Roman" w:hAnsi="Times New Roman" w:cs="Times New Roman"/>
                  <w:b/>
                  <w:bCs/>
                  <w:color w:val="34495E"/>
                  <w:sz w:val="24"/>
                  <w:szCs w:val="24"/>
                  <w:lang w:eastAsia="ru-RU"/>
                </w:rPr>
                <w:t>ставка</w:t>
              </w:r>
            </w:hyperlink>
          </w:p>
        </w:tc>
        <w:tc>
          <w:tcPr>
            <w:tcW w:w="0" w:type="auto"/>
            <w:shd w:val="clear" w:color="auto" w:fill="ECF0F1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0" w:type="auto"/>
            <w:shd w:val="clear" w:color="auto" w:fill="ECF0F1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0" w:type="auto"/>
            <w:shd w:val="clear" w:color="auto" w:fill="ECF0F1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Опции</w:t>
            </w:r>
          </w:p>
        </w:tc>
      </w:tr>
      <w:tr w:rsidR="004E15BF" w:rsidRPr="004E15BF" w:rsidTr="004E15BF">
        <w:tc>
          <w:tcPr>
            <w:tcW w:w="0" w:type="auto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Российский </w:t>
            </w:r>
            <w:hyperlink r:id="rId32" w:tgtFrame="_blank" w:history="1">
              <w:r w:rsidRPr="004E15BF">
                <w:rPr>
                  <w:rFonts w:ascii="Times New Roman" w:eastAsia="Times New Roman" w:hAnsi="Times New Roman" w:cs="Times New Roman"/>
                  <w:b/>
                  <w:bCs/>
                  <w:color w:val="336699"/>
                  <w:sz w:val="24"/>
                  <w:szCs w:val="24"/>
                  <w:lang w:eastAsia="ru-RU"/>
                </w:rPr>
                <w:t>рубль</w:t>
              </w:r>
            </w:hyperlink>
          </w:p>
        </w:tc>
        <w:tc>
          <w:tcPr>
            <w:tcW w:w="0" w:type="auto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hyperlink r:id="rId33" w:anchor="rates-table" w:history="1">
              <w:r w:rsidRPr="004E15BF">
                <w:rPr>
                  <w:rFonts w:ascii="Times New Roman" w:eastAsia="Times New Roman" w:hAnsi="Times New Roman" w:cs="Times New Roman"/>
                  <w:color w:val="336699"/>
                  <w:sz w:val="30"/>
                  <w:szCs w:val="30"/>
                  <w:lang w:eastAsia="ru-RU"/>
                </w:rPr>
                <w:t>7.44%</w:t>
              </w:r>
            </w:hyperlink>
          </w:p>
        </w:tc>
        <w:tc>
          <w:tcPr>
            <w:tcW w:w="0" w:type="auto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10 000</w:t>
            </w:r>
          </w:p>
        </w:tc>
        <w:tc>
          <w:tcPr>
            <w:tcW w:w="0" w:type="auto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450 дней</w:t>
            </w:r>
          </w:p>
        </w:tc>
        <w:tc>
          <w:tcPr>
            <w:tcW w:w="4275" w:type="dxa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numPr>
                <w:ilvl w:val="0"/>
                <w:numId w:val="5"/>
              </w:numPr>
              <w:spacing w:after="225" w:line="330" w:lineRule="atLeast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процентов раз в полгода</w:t>
            </w:r>
          </w:p>
          <w:p w:rsidR="004E15BF" w:rsidRPr="004E15BF" w:rsidRDefault="004E15BF" w:rsidP="004E15BF">
            <w:pPr>
              <w:numPr>
                <w:ilvl w:val="0"/>
                <w:numId w:val="5"/>
              </w:numPr>
              <w:spacing w:after="225" w:line="330" w:lineRule="atLeast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капитализация процентов по выбору клиента раз в полгода</w:t>
            </w:r>
          </w:p>
          <w:p w:rsidR="004E15BF" w:rsidRPr="004E15BF" w:rsidRDefault="004E15BF" w:rsidP="004E15BF">
            <w:pPr>
              <w:numPr>
                <w:ilvl w:val="0"/>
                <w:numId w:val="5"/>
              </w:numPr>
              <w:spacing w:after="0" w:line="330" w:lineRule="atLeast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 пополнение</w:t>
            </w:r>
          </w:p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history="1">
              <w:r w:rsidRPr="004E15BF">
                <w:rPr>
                  <w:rFonts w:ascii="Times New Roman" w:eastAsia="Times New Roman" w:hAnsi="Times New Roman" w:cs="Times New Roman"/>
                  <w:color w:val="336699"/>
                  <w:sz w:val="24"/>
                  <w:szCs w:val="24"/>
                  <w:lang w:eastAsia="ru-RU"/>
                </w:rPr>
                <w:t>Подробнее</w:t>
              </w:r>
            </w:hyperlink>
          </w:p>
        </w:tc>
      </w:tr>
    </w:tbl>
    <w:p w:rsidR="004E15BF" w:rsidRPr="004E15BF" w:rsidRDefault="004E15BF" w:rsidP="004E15B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35" w:anchor="rates-table" w:history="1">
        <w:r w:rsidRPr="004E15BF">
          <w:rPr>
            <w:rFonts w:ascii="Arial" w:eastAsia="Times New Roman" w:hAnsi="Arial" w:cs="Arial"/>
            <w:caps/>
            <w:color w:val="222222"/>
            <w:spacing w:val="15"/>
            <w:sz w:val="18"/>
            <w:szCs w:val="18"/>
            <w:u w:val="single"/>
            <w:bdr w:val="none" w:sz="0" w:space="0" w:color="auto" w:frame="1"/>
            <w:lang w:eastAsia="ru-RU"/>
          </w:rPr>
          <w:t>ВСЕ СТАВКИ</w:t>
        </w:r>
      </w:hyperlink>
    </w:p>
    <w:p w:rsidR="004E15BF" w:rsidRPr="004E15BF" w:rsidRDefault="004E15BF" w:rsidP="004E15BF">
      <w:pPr>
        <w:shd w:val="clear" w:color="auto" w:fill="FBEBD8"/>
        <w:spacing w:line="240" w:lineRule="auto"/>
        <w:textAlignment w:val="center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36" w:history="1">
        <w:r w:rsidRPr="004E15BF">
          <w:rPr>
            <w:rFonts w:ascii="Arial" w:eastAsia="Times New Roman" w:hAnsi="Arial" w:cs="Arial"/>
            <w:color w:val="0000FF"/>
            <w:sz w:val="36"/>
            <w:szCs w:val="36"/>
            <w:lang w:eastAsia="ru-RU"/>
          </w:rPr>
          <w:t>Высокий сезон (на два года)</w:t>
        </w:r>
      </w:hyperlink>
    </w:p>
    <w:tbl>
      <w:tblPr>
        <w:tblW w:w="12855" w:type="dxa"/>
        <w:tblBorders>
          <w:left w:val="single" w:sz="6" w:space="0" w:color="ECF0F1"/>
          <w:right w:val="single" w:sz="6" w:space="0" w:color="ECF0F1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29"/>
        <w:gridCol w:w="2099"/>
        <w:gridCol w:w="1893"/>
        <w:gridCol w:w="1959"/>
        <w:gridCol w:w="4275"/>
      </w:tblGrid>
      <w:tr w:rsidR="004E15BF" w:rsidRPr="004E15BF" w:rsidTr="004E15BF">
        <w:trPr>
          <w:tblHeader/>
        </w:trPr>
        <w:tc>
          <w:tcPr>
            <w:tcW w:w="0" w:type="auto"/>
            <w:shd w:val="clear" w:color="auto" w:fill="ECF0F1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Валюта</w:t>
            </w:r>
          </w:p>
        </w:tc>
        <w:tc>
          <w:tcPr>
            <w:tcW w:w="0" w:type="auto"/>
            <w:shd w:val="clear" w:color="auto" w:fill="ECF0F1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Макс. </w:t>
            </w:r>
            <w:hyperlink r:id="rId37" w:tgtFrame="_blank" w:history="1">
              <w:r w:rsidRPr="004E15BF">
                <w:rPr>
                  <w:rFonts w:ascii="Times New Roman" w:eastAsia="Times New Roman" w:hAnsi="Times New Roman" w:cs="Times New Roman"/>
                  <w:b/>
                  <w:bCs/>
                  <w:color w:val="34495E"/>
                  <w:sz w:val="24"/>
                  <w:szCs w:val="24"/>
                  <w:lang w:eastAsia="ru-RU"/>
                </w:rPr>
                <w:t>ставка</w:t>
              </w:r>
            </w:hyperlink>
          </w:p>
        </w:tc>
        <w:tc>
          <w:tcPr>
            <w:tcW w:w="0" w:type="auto"/>
            <w:shd w:val="clear" w:color="auto" w:fill="ECF0F1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0" w:type="auto"/>
            <w:shd w:val="clear" w:color="auto" w:fill="ECF0F1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0" w:type="auto"/>
            <w:shd w:val="clear" w:color="auto" w:fill="ECF0F1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Опции</w:t>
            </w:r>
          </w:p>
        </w:tc>
      </w:tr>
      <w:tr w:rsidR="004E15BF" w:rsidRPr="004E15BF" w:rsidTr="004E15BF">
        <w:tc>
          <w:tcPr>
            <w:tcW w:w="0" w:type="auto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 </w:t>
            </w:r>
            <w:hyperlink r:id="rId38" w:tgtFrame="_blank" w:history="1">
              <w:r w:rsidRPr="004E15BF">
                <w:rPr>
                  <w:rFonts w:ascii="Times New Roman" w:eastAsia="Times New Roman" w:hAnsi="Times New Roman" w:cs="Times New Roman"/>
                  <w:b/>
                  <w:bCs/>
                  <w:color w:val="336699"/>
                  <w:sz w:val="24"/>
                  <w:szCs w:val="24"/>
                  <w:lang w:eastAsia="ru-RU"/>
                </w:rPr>
                <w:t>рубль</w:t>
              </w:r>
            </w:hyperlink>
          </w:p>
        </w:tc>
        <w:tc>
          <w:tcPr>
            <w:tcW w:w="0" w:type="auto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hyperlink r:id="rId39" w:anchor="rates-table" w:history="1">
              <w:r w:rsidRPr="004E15BF">
                <w:rPr>
                  <w:rFonts w:ascii="Times New Roman" w:eastAsia="Times New Roman" w:hAnsi="Times New Roman" w:cs="Times New Roman"/>
                  <w:color w:val="336699"/>
                  <w:sz w:val="30"/>
                  <w:szCs w:val="30"/>
                  <w:lang w:eastAsia="ru-RU"/>
                </w:rPr>
                <w:t>7.42%</w:t>
              </w:r>
            </w:hyperlink>
          </w:p>
        </w:tc>
        <w:tc>
          <w:tcPr>
            <w:tcW w:w="0" w:type="auto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1 500 000</w:t>
            </w:r>
          </w:p>
        </w:tc>
        <w:tc>
          <w:tcPr>
            <w:tcW w:w="0" w:type="auto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24 месяца</w:t>
            </w:r>
          </w:p>
        </w:tc>
        <w:tc>
          <w:tcPr>
            <w:tcW w:w="4275" w:type="dxa"/>
            <w:tcBorders>
              <w:bottom w:val="single" w:sz="6" w:space="0" w:color="ECF0F1"/>
            </w:tcBorders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4E15BF" w:rsidRPr="004E15BF" w:rsidRDefault="004E15BF" w:rsidP="004E15BF">
            <w:pPr>
              <w:numPr>
                <w:ilvl w:val="0"/>
                <w:numId w:val="6"/>
              </w:numPr>
              <w:spacing w:after="225" w:line="330" w:lineRule="atLeast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процентов раз в полгода</w:t>
            </w:r>
          </w:p>
          <w:p w:rsidR="004E15BF" w:rsidRPr="004E15BF" w:rsidRDefault="004E15BF" w:rsidP="004E15BF">
            <w:pPr>
              <w:numPr>
                <w:ilvl w:val="0"/>
                <w:numId w:val="6"/>
              </w:numPr>
              <w:spacing w:after="0" w:line="330" w:lineRule="atLeast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капитализация процентов по выбору клиента раз в полгода</w:t>
            </w:r>
          </w:p>
          <w:p w:rsidR="004E15BF" w:rsidRPr="004E15BF" w:rsidRDefault="004E15BF" w:rsidP="004E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history="1">
              <w:r w:rsidRPr="004E15BF">
                <w:rPr>
                  <w:rFonts w:ascii="Times New Roman" w:eastAsia="Times New Roman" w:hAnsi="Times New Roman" w:cs="Times New Roman"/>
                  <w:color w:val="336699"/>
                  <w:sz w:val="24"/>
                  <w:szCs w:val="24"/>
                  <w:lang w:eastAsia="ru-RU"/>
                </w:rPr>
                <w:t>Подробнее</w:t>
              </w:r>
            </w:hyperlink>
          </w:p>
        </w:tc>
      </w:tr>
    </w:tbl>
    <w:p w:rsidR="004D768B" w:rsidRDefault="004D768B"/>
    <w:sectPr w:rsidR="004D768B" w:rsidSect="004E15B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82FA4"/>
    <w:multiLevelType w:val="multilevel"/>
    <w:tmpl w:val="C6FA0A5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E532A6"/>
    <w:multiLevelType w:val="multilevel"/>
    <w:tmpl w:val="8A4AA5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B250B1"/>
    <w:multiLevelType w:val="multilevel"/>
    <w:tmpl w:val="B87262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415E3B"/>
    <w:multiLevelType w:val="multilevel"/>
    <w:tmpl w:val="8800DF5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4250EAE"/>
    <w:multiLevelType w:val="multilevel"/>
    <w:tmpl w:val="AE4AC9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4D856ED"/>
    <w:multiLevelType w:val="multilevel"/>
    <w:tmpl w:val="F4B8D2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5BF"/>
    <w:rsid w:val="004D768B"/>
    <w:rsid w:val="004E1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75841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0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39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32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82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19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27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01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91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19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7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4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1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92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57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152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14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352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84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0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1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04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4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70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260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nki.ru/products/deposits/vozrozhdenie/" TargetMode="External"/><Relationship Id="rId13" Type="http://schemas.openxmlformats.org/officeDocument/2006/relationships/hyperlink" Target="http://www.banki.ru/products/deposits/deposit/16395/" TargetMode="External"/><Relationship Id="rId18" Type="http://schemas.openxmlformats.org/officeDocument/2006/relationships/hyperlink" Target="http://www.banki.ru/products/deposits/vozrozhdenie/" TargetMode="External"/><Relationship Id="rId26" Type="http://schemas.openxmlformats.org/officeDocument/2006/relationships/hyperlink" Target="http://www.banki.ru/products/deposits/deposit/16396/?rate_id=2532155" TargetMode="External"/><Relationship Id="rId39" Type="http://schemas.openxmlformats.org/officeDocument/2006/relationships/hyperlink" Target="http://www.banki.ru/products/deposits/deposit/16099/?rate_id=253219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banki.ru/products/deposits/deposit/16395/?rate_id=2532228" TargetMode="External"/><Relationship Id="rId34" Type="http://schemas.openxmlformats.org/officeDocument/2006/relationships/hyperlink" Target="http://www.banki.ru/products/deposits/deposit/16398/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www.banki.ru/products/deposits/vozrozhdenie/" TargetMode="External"/><Relationship Id="rId12" Type="http://schemas.openxmlformats.org/officeDocument/2006/relationships/hyperlink" Target="http://www.banki.ru/products/deposits/deposit/16226/?rate_id=2532140" TargetMode="External"/><Relationship Id="rId17" Type="http://schemas.openxmlformats.org/officeDocument/2006/relationships/hyperlink" Target="http://www.banki.ru/products/deposits/deposit/16395/" TargetMode="External"/><Relationship Id="rId25" Type="http://schemas.openxmlformats.org/officeDocument/2006/relationships/hyperlink" Target="http://www.banki.ru/products/deposits/vozrozhdenie/" TargetMode="External"/><Relationship Id="rId33" Type="http://schemas.openxmlformats.org/officeDocument/2006/relationships/hyperlink" Target="http://www.banki.ru/products/deposits/deposit/16398/?rate_id=2532353" TargetMode="External"/><Relationship Id="rId38" Type="http://schemas.openxmlformats.org/officeDocument/2006/relationships/hyperlink" Target="http://www.banki.ru/products/deposits/vozrozhdenie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anki.ru/products/deposits/deposit/16395/?rate_id=2532212" TargetMode="External"/><Relationship Id="rId20" Type="http://schemas.openxmlformats.org/officeDocument/2006/relationships/hyperlink" Target="http://www.banki.ru/products/deposits/vozrozhdenie/" TargetMode="External"/><Relationship Id="rId29" Type="http://schemas.openxmlformats.org/officeDocument/2006/relationships/hyperlink" Target="http://www.banki.ru/products/deposits/deposit/16396/?rate_id=2532170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banki.ru/products/deposits/deposit/16226/" TargetMode="External"/><Relationship Id="rId11" Type="http://schemas.openxmlformats.org/officeDocument/2006/relationships/hyperlink" Target="http://www.banki.ru/products/deposits/vozrozhdenie/" TargetMode="External"/><Relationship Id="rId24" Type="http://schemas.openxmlformats.org/officeDocument/2006/relationships/hyperlink" Target="http://www.banki.ru/products/deposits/vozrozhdenie/" TargetMode="External"/><Relationship Id="rId32" Type="http://schemas.openxmlformats.org/officeDocument/2006/relationships/hyperlink" Target="http://www.banki.ru/products/deposits/vozrozhdenie/" TargetMode="External"/><Relationship Id="rId37" Type="http://schemas.openxmlformats.org/officeDocument/2006/relationships/hyperlink" Target="http://www.banki.ru/products/deposits/vozrozhdenie/" TargetMode="External"/><Relationship Id="rId40" Type="http://schemas.openxmlformats.org/officeDocument/2006/relationships/hyperlink" Target="http://www.banki.ru/products/deposits/deposit/16099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anki.ru/products/deposits/vozrozhdenie/" TargetMode="External"/><Relationship Id="rId23" Type="http://schemas.openxmlformats.org/officeDocument/2006/relationships/hyperlink" Target="http://www.banki.ru/products/deposits/deposit/16396/" TargetMode="External"/><Relationship Id="rId28" Type="http://schemas.openxmlformats.org/officeDocument/2006/relationships/hyperlink" Target="http://www.banki.ru/products/deposits/vozrozhdenie/" TargetMode="External"/><Relationship Id="rId36" Type="http://schemas.openxmlformats.org/officeDocument/2006/relationships/hyperlink" Target="http://www.banki.ru/products/deposits/deposit/16099/" TargetMode="External"/><Relationship Id="rId10" Type="http://schemas.openxmlformats.org/officeDocument/2006/relationships/hyperlink" Target="http://www.banki.ru/products/deposits/deposit/16226/" TargetMode="External"/><Relationship Id="rId19" Type="http://schemas.openxmlformats.org/officeDocument/2006/relationships/hyperlink" Target="http://www.banki.ru/products/deposits/deposit/16395/?rate_id=2532225" TargetMode="External"/><Relationship Id="rId31" Type="http://schemas.openxmlformats.org/officeDocument/2006/relationships/hyperlink" Target="http://www.banki.ru/products/deposits/vozrozhdeni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anki.ru/products/deposits/deposit/16226/?rate_id=2532128" TargetMode="External"/><Relationship Id="rId14" Type="http://schemas.openxmlformats.org/officeDocument/2006/relationships/hyperlink" Target="http://www.banki.ru/products/deposits/vozrozhdenie/" TargetMode="External"/><Relationship Id="rId22" Type="http://schemas.openxmlformats.org/officeDocument/2006/relationships/hyperlink" Target="http://www.banki.ru/products/deposits/deposit/16395/" TargetMode="External"/><Relationship Id="rId27" Type="http://schemas.openxmlformats.org/officeDocument/2006/relationships/hyperlink" Target="http://www.banki.ru/products/deposits/deposit/16396/" TargetMode="External"/><Relationship Id="rId30" Type="http://schemas.openxmlformats.org/officeDocument/2006/relationships/hyperlink" Target="http://www.banki.ru/products/deposits/deposit/16396/" TargetMode="External"/><Relationship Id="rId35" Type="http://schemas.openxmlformats.org/officeDocument/2006/relationships/hyperlink" Target="http://www.banki.ru/products/deposits/deposit/1639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2017-04-12T20:26:00Z</dcterms:created>
  <dcterms:modified xsi:type="dcterms:W3CDTF">2017-04-12T20:30:00Z</dcterms:modified>
</cp:coreProperties>
</file>